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D56D1C" w:rsidRDefault="00D56D1C" w:rsidP="00D56D1C">
      <w:pPr>
        <w:numPr>
          <w:ilvl w:val="0"/>
          <w:numId w:val="2"/>
        </w:numPr>
      </w:pPr>
      <w:r w:rsidRPr="00D56D1C">
        <w:t xml:space="preserve">План </w:t>
      </w:r>
      <w:r w:rsidRPr="00D56D1C">
        <w:t>імплементації</w:t>
      </w:r>
      <w:r w:rsidRPr="00D56D1C">
        <w:t xml:space="preserve"> </w:t>
      </w:r>
      <w:r w:rsidRPr="00D56D1C">
        <w:rPr>
          <w:b/>
          <w:bCs/>
        </w:rPr>
        <w:t>Другої Директиви</w:t>
      </w:r>
      <w:r w:rsidRPr="00D56D1C">
        <w:t xml:space="preserve"> 77/91/ЄЕС, Директиви 2007/36/ЄС, Рекомендацій ЄК 2005/162/ЄС, 2004/913/ЄС та </w:t>
      </w:r>
      <w:r w:rsidRPr="00D56D1C">
        <w:rPr>
          <w:b/>
          <w:bCs/>
        </w:rPr>
        <w:t xml:space="preserve">принципів ОЕСР щодо впровадження стандартів у сфері корпоративного управління та діяльності АТ </w:t>
      </w:r>
      <w:r w:rsidRPr="00D56D1C">
        <w:t>– Рішення НКЦ</w:t>
      </w:r>
      <w:r w:rsidRPr="00D56D1C">
        <w:t>ПФР</w:t>
      </w:r>
      <w:r w:rsidRPr="00D56D1C">
        <w:rPr>
          <w:b/>
          <w:bCs/>
        </w:rPr>
        <w:t xml:space="preserve"> </w:t>
      </w:r>
      <w:r w:rsidRPr="00D56D1C">
        <w:t>від 28.10.2014  №1459 (із змінами – Рішення від 22.09.2015 №1502)</w:t>
      </w:r>
    </w:p>
    <w:p w:rsidR="00D56D1C" w:rsidRPr="00D56D1C" w:rsidRDefault="00D56D1C" w:rsidP="00D56D1C">
      <w:r w:rsidRPr="00D56D1C">
        <w:rPr>
          <w:b/>
          <w:bCs/>
        </w:rPr>
        <w:t>Рішення НКЦПФР</w:t>
      </w:r>
      <w:r w:rsidRPr="00D56D1C">
        <w:t xml:space="preserve"> </w:t>
      </w:r>
      <w:r w:rsidRPr="00D56D1C">
        <w:rPr>
          <w:b/>
          <w:bCs/>
        </w:rPr>
        <w:t>від 28 грудня 2016 року – Плани імплементації</w:t>
      </w:r>
      <w:r w:rsidRPr="00D56D1C">
        <w:rPr>
          <w:lang w:val="ru-RU"/>
        </w:rPr>
        <w:t>:</w:t>
      </w:r>
    </w:p>
    <w:p w:rsidR="00000000" w:rsidRPr="00D56D1C" w:rsidRDefault="00D56D1C" w:rsidP="00D56D1C">
      <w:pPr>
        <w:numPr>
          <w:ilvl w:val="0"/>
          <w:numId w:val="3"/>
        </w:numPr>
      </w:pPr>
      <w:r w:rsidRPr="00D56D1C">
        <w:t xml:space="preserve">у сфері </w:t>
      </w:r>
      <w:r w:rsidRPr="00D56D1C">
        <w:rPr>
          <w:b/>
          <w:bCs/>
        </w:rPr>
        <w:t xml:space="preserve">інститутів спільного інвестування </w:t>
      </w:r>
      <w:r w:rsidRPr="00D56D1C">
        <w:t>(Директиви 2009/65/ЄС</w:t>
      </w:r>
      <w:r w:rsidRPr="00D56D1C">
        <w:rPr>
          <w:b/>
          <w:bCs/>
        </w:rPr>
        <w:t xml:space="preserve"> </w:t>
      </w:r>
      <w:r w:rsidRPr="00D56D1C">
        <w:t xml:space="preserve">та актів, що її </w:t>
      </w:r>
      <w:proofErr w:type="spellStart"/>
      <w:r w:rsidRPr="00D56D1C">
        <w:t>імплементують</w:t>
      </w:r>
      <w:proofErr w:type="spellEnd"/>
      <w:r w:rsidRPr="00D56D1C">
        <w:t xml:space="preserve">, – про </w:t>
      </w:r>
      <w:r w:rsidRPr="00D56D1C">
        <w:rPr>
          <w:b/>
          <w:bCs/>
        </w:rPr>
        <w:t>UCITS</w:t>
      </w:r>
      <w:r w:rsidRPr="00D56D1C">
        <w:t>) – Рішення №1273</w:t>
      </w:r>
    </w:p>
    <w:p w:rsidR="00000000" w:rsidRPr="00D56D1C" w:rsidRDefault="00D56D1C" w:rsidP="00D56D1C">
      <w:pPr>
        <w:numPr>
          <w:ilvl w:val="0"/>
          <w:numId w:val="3"/>
        </w:numPr>
      </w:pPr>
      <w:r w:rsidRPr="00D56D1C">
        <w:t xml:space="preserve">у сфері </w:t>
      </w:r>
      <w:r w:rsidRPr="00D56D1C">
        <w:rPr>
          <w:b/>
          <w:bCs/>
        </w:rPr>
        <w:t>пруденційного нагляду</w:t>
      </w:r>
      <w:r w:rsidRPr="00D56D1C">
        <w:t xml:space="preserve"> </w:t>
      </w:r>
      <w:r w:rsidRPr="00D56D1C">
        <w:rPr>
          <w:b/>
          <w:bCs/>
        </w:rPr>
        <w:t>та вимог до професійних учасників ри</w:t>
      </w:r>
      <w:r w:rsidRPr="00D56D1C">
        <w:rPr>
          <w:b/>
          <w:bCs/>
        </w:rPr>
        <w:t xml:space="preserve">нків капіталу </w:t>
      </w:r>
      <w:r w:rsidRPr="00D56D1C">
        <w:t>(Директиви 2013/36/ЄС, Регламенту 575/2013 – «</w:t>
      </w:r>
      <w:r w:rsidRPr="00D56D1C">
        <w:rPr>
          <w:b/>
          <w:bCs/>
        </w:rPr>
        <w:t xml:space="preserve">пакету </w:t>
      </w:r>
      <w:r w:rsidRPr="00D56D1C">
        <w:rPr>
          <w:b/>
          <w:bCs/>
          <w:lang w:val="en-US"/>
        </w:rPr>
        <w:t>CRD</w:t>
      </w:r>
      <w:r w:rsidRPr="00D56D1C">
        <w:rPr>
          <w:b/>
          <w:bCs/>
          <w:lang w:val="ru-RU"/>
        </w:rPr>
        <w:t xml:space="preserve"> </w:t>
      </w:r>
      <w:r w:rsidRPr="00D56D1C">
        <w:rPr>
          <w:b/>
          <w:bCs/>
          <w:lang w:val="en-US"/>
        </w:rPr>
        <w:t>IV</w:t>
      </w:r>
      <w:r w:rsidRPr="00D56D1C">
        <w:t>») – Рішення №1271</w:t>
      </w:r>
    </w:p>
    <w:p w:rsidR="00000000" w:rsidRPr="00D56D1C" w:rsidRDefault="00D56D1C" w:rsidP="00D56D1C">
      <w:pPr>
        <w:numPr>
          <w:ilvl w:val="0"/>
          <w:numId w:val="3"/>
        </w:numPr>
      </w:pPr>
      <w:r w:rsidRPr="00D56D1C">
        <w:t xml:space="preserve">у сфері </w:t>
      </w:r>
      <w:r w:rsidRPr="00D56D1C">
        <w:rPr>
          <w:b/>
          <w:bCs/>
        </w:rPr>
        <w:t>фінансових інструментів та ринків капіталу</w:t>
      </w:r>
      <w:r w:rsidRPr="00D56D1C">
        <w:t xml:space="preserve"> (Директиви 2014/65/ЄС, Регламенту 600/2014 –</w:t>
      </w:r>
      <w:r w:rsidRPr="00D56D1C">
        <w:rPr>
          <w:b/>
          <w:bCs/>
        </w:rPr>
        <w:t xml:space="preserve"> </w:t>
      </w:r>
      <w:r w:rsidRPr="00D56D1C">
        <w:rPr>
          <w:b/>
          <w:bCs/>
          <w:lang w:val="en-US"/>
        </w:rPr>
        <w:t>MiFID</w:t>
      </w:r>
      <w:r w:rsidRPr="00D56D1C">
        <w:rPr>
          <w:b/>
          <w:bCs/>
        </w:rPr>
        <w:t xml:space="preserve"> </w:t>
      </w:r>
      <w:r w:rsidRPr="00D56D1C">
        <w:rPr>
          <w:b/>
          <w:bCs/>
          <w:lang w:val="en-US"/>
        </w:rPr>
        <w:t>II</w:t>
      </w:r>
      <w:r w:rsidRPr="00D56D1C">
        <w:rPr>
          <w:b/>
          <w:bCs/>
        </w:rPr>
        <w:t xml:space="preserve"> &amp;</w:t>
      </w:r>
      <w:r w:rsidRPr="00D56D1C">
        <w:rPr>
          <w:b/>
          <w:bCs/>
        </w:rPr>
        <w:t xml:space="preserve"> </w:t>
      </w:r>
      <w:proofErr w:type="spellStart"/>
      <w:r w:rsidRPr="00D56D1C">
        <w:rPr>
          <w:b/>
          <w:bCs/>
          <w:lang w:val="en-US"/>
        </w:rPr>
        <w:t>MiFIR</w:t>
      </w:r>
      <w:proofErr w:type="spellEnd"/>
      <w:r w:rsidRPr="00D56D1C">
        <w:t>) – Рішення №1274</w:t>
      </w:r>
    </w:p>
    <w:p w:rsidR="00000000" w:rsidRPr="00D56D1C" w:rsidRDefault="00D56D1C" w:rsidP="00D56D1C">
      <w:pPr>
        <w:numPr>
          <w:ilvl w:val="0"/>
          <w:numId w:val="3"/>
        </w:numPr>
      </w:pPr>
      <w:r w:rsidRPr="00D56D1C">
        <w:t xml:space="preserve">у сфері </w:t>
      </w:r>
      <w:r w:rsidRPr="00D56D1C">
        <w:rPr>
          <w:b/>
          <w:bCs/>
        </w:rPr>
        <w:t>емісії цінних паперів</w:t>
      </w:r>
      <w:r w:rsidRPr="00D56D1C">
        <w:t xml:space="preserve"> (Директиви 2003/71/ЄС –</w:t>
      </w:r>
      <w:r w:rsidRPr="00D56D1C">
        <w:rPr>
          <w:b/>
          <w:bCs/>
        </w:rPr>
        <w:t xml:space="preserve"> </w:t>
      </w:r>
      <w:r w:rsidRPr="00D56D1C">
        <w:rPr>
          <w:b/>
          <w:bCs/>
          <w:lang w:val="en-US"/>
        </w:rPr>
        <w:t>Prospectus</w:t>
      </w:r>
      <w:r w:rsidRPr="00D56D1C">
        <w:rPr>
          <w:b/>
          <w:bCs/>
        </w:rPr>
        <w:t xml:space="preserve"> </w:t>
      </w:r>
      <w:r w:rsidRPr="00D56D1C">
        <w:rPr>
          <w:b/>
          <w:bCs/>
          <w:lang w:val="en-US"/>
        </w:rPr>
        <w:t>Directive</w:t>
      </w:r>
      <w:r w:rsidRPr="00D56D1C">
        <w:t>, Регламенту Комісії 809/2004) – Рішення №1268</w:t>
      </w:r>
    </w:p>
    <w:p w:rsidR="00000000" w:rsidRPr="00D56D1C" w:rsidRDefault="00D56D1C" w:rsidP="00D56D1C">
      <w:pPr>
        <w:numPr>
          <w:ilvl w:val="0"/>
          <w:numId w:val="3"/>
        </w:numPr>
      </w:pPr>
      <w:r w:rsidRPr="00D56D1C">
        <w:t xml:space="preserve">у сфері </w:t>
      </w:r>
      <w:r w:rsidRPr="00D56D1C">
        <w:rPr>
          <w:b/>
          <w:bCs/>
        </w:rPr>
        <w:t>р</w:t>
      </w:r>
      <w:r w:rsidRPr="00D56D1C">
        <w:rPr>
          <w:b/>
          <w:bCs/>
        </w:rPr>
        <w:t>озкриття інформації на ринках капіталу</w:t>
      </w:r>
      <w:r w:rsidRPr="00D56D1C">
        <w:t xml:space="preserve">  (</w:t>
      </w:r>
      <w:r w:rsidRPr="00D56D1C">
        <w:rPr>
          <w:b/>
          <w:bCs/>
        </w:rPr>
        <w:t>Директиви 2004/109/ЄС</w:t>
      </w:r>
      <w:r w:rsidRPr="00D56D1C">
        <w:t xml:space="preserve"> та актів, що її </w:t>
      </w:r>
      <w:proofErr w:type="spellStart"/>
      <w:r w:rsidRPr="00D56D1C">
        <w:t>імплементують</w:t>
      </w:r>
      <w:proofErr w:type="spellEnd"/>
      <w:r w:rsidRPr="00D56D1C">
        <w:t xml:space="preserve">, – </w:t>
      </w:r>
      <w:r w:rsidRPr="00D56D1C">
        <w:rPr>
          <w:b/>
          <w:bCs/>
          <w:lang w:val="en-US"/>
        </w:rPr>
        <w:t>Transparency</w:t>
      </w:r>
      <w:r w:rsidRPr="00D56D1C">
        <w:rPr>
          <w:b/>
          <w:bCs/>
        </w:rPr>
        <w:t xml:space="preserve"> </w:t>
      </w:r>
      <w:r w:rsidRPr="00D56D1C">
        <w:rPr>
          <w:b/>
          <w:bCs/>
          <w:lang w:val="en-US"/>
        </w:rPr>
        <w:t>Directive</w:t>
      </w:r>
      <w:r w:rsidRPr="00D56D1C">
        <w:t>) – Рішення №1272</w:t>
      </w:r>
    </w:p>
    <w:p w:rsidR="00000000" w:rsidRPr="00D56D1C" w:rsidRDefault="00D56D1C" w:rsidP="00D56D1C">
      <w:pPr>
        <w:numPr>
          <w:ilvl w:val="0"/>
          <w:numId w:val="3"/>
        </w:numPr>
      </w:pPr>
      <w:r w:rsidRPr="00D56D1C">
        <w:t xml:space="preserve">у сфері </w:t>
      </w:r>
      <w:r w:rsidRPr="00D56D1C">
        <w:rPr>
          <w:b/>
          <w:bCs/>
        </w:rPr>
        <w:t xml:space="preserve">забезпечення виконання договорів щодо фінансових інструментів </w:t>
      </w:r>
      <w:r w:rsidRPr="00D56D1C">
        <w:t>(Директиви 98/26/ЄС (зі змінами), Директиви 2002/47/ЄС)</w:t>
      </w:r>
      <w:r w:rsidRPr="00D56D1C">
        <w:rPr>
          <w:b/>
          <w:bCs/>
        </w:rPr>
        <w:t xml:space="preserve"> </w:t>
      </w:r>
      <w:r w:rsidRPr="00D56D1C">
        <w:t>– Рішення №1269</w:t>
      </w:r>
    </w:p>
    <w:p w:rsidR="00000000" w:rsidRPr="00D56D1C" w:rsidRDefault="00D56D1C" w:rsidP="00D56D1C">
      <w:pPr>
        <w:numPr>
          <w:ilvl w:val="0"/>
          <w:numId w:val="3"/>
        </w:numPr>
      </w:pPr>
      <w:r w:rsidRPr="00D56D1C">
        <w:t xml:space="preserve">у сфері </w:t>
      </w:r>
      <w:r w:rsidRPr="00D56D1C">
        <w:rPr>
          <w:b/>
          <w:bCs/>
        </w:rPr>
        <w:t>протидії зловживанням на ринках капіталу</w:t>
      </w:r>
      <w:r w:rsidRPr="00D56D1C">
        <w:t xml:space="preserve"> (Директиви 2014/57, Регламенту</w:t>
      </w:r>
      <w:r w:rsidRPr="00D56D1C">
        <w:t xml:space="preserve"> 596/2014 – </w:t>
      </w:r>
      <w:r w:rsidRPr="00D56D1C">
        <w:rPr>
          <w:b/>
          <w:bCs/>
          <w:lang w:val="en-US"/>
        </w:rPr>
        <w:t>MAD</w:t>
      </w:r>
      <w:r w:rsidRPr="00D56D1C">
        <w:rPr>
          <w:b/>
          <w:bCs/>
          <w:lang w:val="ru-RU"/>
        </w:rPr>
        <w:t xml:space="preserve"> &amp; </w:t>
      </w:r>
      <w:r w:rsidRPr="00D56D1C">
        <w:rPr>
          <w:b/>
          <w:bCs/>
          <w:lang w:val="en-US"/>
        </w:rPr>
        <w:t>MAR</w:t>
      </w:r>
      <w:r w:rsidRPr="00D56D1C">
        <w:t>) – Рішення №1267</w:t>
      </w:r>
    </w:p>
    <w:p w:rsidR="00000000" w:rsidRPr="00D56D1C" w:rsidRDefault="00D56D1C" w:rsidP="00D56D1C">
      <w:pPr>
        <w:numPr>
          <w:ilvl w:val="0"/>
          <w:numId w:val="3"/>
        </w:numPr>
      </w:pPr>
      <w:r w:rsidRPr="00D56D1C">
        <w:t xml:space="preserve">Регламенту 1060/2009 </w:t>
      </w:r>
      <w:r w:rsidRPr="00D56D1C">
        <w:rPr>
          <w:b/>
          <w:bCs/>
        </w:rPr>
        <w:t>щодо кредитних рейтингових агентств (</w:t>
      </w:r>
      <w:r w:rsidRPr="00D56D1C">
        <w:rPr>
          <w:b/>
          <w:bCs/>
          <w:lang w:val="en-US"/>
        </w:rPr>
        <w:t>CRA</w:t>
      </w:r>
      <w:r w:rsidRPr="00D56D1C">
        <w:rPr>
          <w:b/>
          <w:bCs/>
        </w:rPr>
        <w:t xml:space="preserve"> </w:t>
      </w:r>
      <w:r w:rsidRPr="00D56D1C">
        <w:rPr>
          <w:b/>
          <w:bCs/>
          <w:lang w:val="en-US"/>
        </w:rPr>
        <w:t>Regulatio</w:t>
      </w:r>
      <w:r w:rsidRPr="00D56D1C">
        <w:rPr>
          <w:b/>
          <w:bCs/>
          <w:lang w:val="en-US"/>
        </w:rPr>
        <w:t>n</w:t>
      </w:r>
      <w:r w:rsidRPr="00D56D1C">
        <w:rPr>
          <w:b/>
          <w:bCs/>
        </w:rPr>
        <w:t>)</w:t>
      </w:r>
      <w:r w:rsidRPr="00D56D1C">
        <w:t xml:space="preserve"> – Рішення №1270</w:t>
      </w:r>
    </w:p>
    <w:p w:rsidR="00000000" w:rsidRPr="00D56D1C" w:rsidRDefault="00D56D1C" w:rsidP="00D56D1C">
      <w:pPr>
        <w:numPr>
          <w:ilvl w:val="0"/>
          <w:numId w:val="3"/>
        </w:numPr>
      </w:pPr>
      <w:r w:rsidRPr="00D56D1C">
        <w:t xml:space="preserve">Директиви 97/9/ЄС </w:t>
      </w:r>
      <w:r w:rsidRPr="00D56D1C">
        <w:rPr>
          <w:b/>
          <w:bCs/>
        </w:rPr>
        <w:t>щодо схем компенсації інвестору (</w:t>
      </w:r>
      <w:r w:rsidRPr="00D56D1C">
        <w:rPr>
          <w:b/>
          <w:bCs/>
          <w:lang w:val="en-US"/>
        </w:rPr>
        <w:t>ICSD</w:t>
      </w:r>
      <w:r w:rsidRPr="00D56D1C">
        <w:rPr>
          <w:b/>
          <w:bCs/>
        </w:rPr>
        <w:t xml:space="preserve">) </w:t>
      </w:r>
      <w:r w:rsidRPr="00D56D1C">
        <w:t>–</w:t>
      </w:r>
      <w:r w:rsidRPr="00D56D1C">
        <w:rPr>
          <w:b/>
          <w:bCs/>
        </w:rPr>
        <w:t xml:space="preserve"> </w:t>
      </w:r>
      <w:r w:rsidRPr="00D56D1C">
        <w:t>Рішення №1270</w:t>
      </w:r>
    </w:p>
    <w:p w:rsidR="00D56D1C" w:rsidRPr="00D56D1C" w:rsidRDefault="00D56D1C" w:rsidP="00D56D1C">
      <w:hyperlink r:id="rId5" w:history="1">
        <w:r w:rsidRPr="00D56D1C">
          <w:rPr>
            <w:rStyle w:val="a4"/>
            <w:lang w:val="en-GB"/>
          </w:rPr>
          <w:t>https</w:t>
        </w:r>
        <w:r w:rsidRPr="00D56D1C">
          <w:rPr>
            <w:rStyle w:val="a4"/>
          </w:rPr>
          <w:t>://</w:t>
        </w:r>
      </w:hyperlink>
      <w:hyperlink r:id="rId6" w:history="1">
        <w:r w:rsidRPr="00D56D1C">
          <w:rPr>
            <w:rStyle w:val="a4"/>
            <w:lang w:val="en-GB"/>
          </w:rPr>
          <w:t>www</w:t>
        </w:r>
        <w:r w:rsidRPr="00D56D1C">
          <w:rPr>
            <w:rStyle w:val="a4"/>
          </w:rPr>
          <w:t>.</w:t>
        </w:r>
        <w:r w:rsidRPr="00D56D1C">
          <w:rPr>
            <w:rStyle w:val="a4"/>
            <w:lang w:val="en-GB"/>
          </w:rPr>
          <w:t>nssmc</w:t>
        </w:r>
        <w:r w:rsidRPr="00D56D1C">
          <w:rPr>
            <w:rStyle w:val="a4"/>
          </w:rPr>
          <w:t>.</w:t>
        </w:r>
        <w:r w:rsidRPr="00D56D1C">
          <w:rPr>
            <w:rStyle w:val="a4"/>
            <w:lang w:val="en-GB"/>
          </w:rPr>
          <w:t>gov</w:t>
        </w:r>
        <w:r w:rsidRPr="00D56D1C">
          <w:rPr>
            <w:rStyle w:val="a4"/>
          </w:rPr>
          <w:t>.</w:t>
        </w:r>
        <w:r w:rsidRPr="00D56D1C">
          <w:rPr>
            <w:rStyle w:val="a4"/>
            <w:lang w:val="en-GB"/>
          </w:rPr>
          <w:t>ua</w:t>
        </w:r>
        <w:r w:rsidRPr="00D56D1C">
          <w:rPr>
            <w:rStyle w:val="a4"/>
          </w:rPr>
          <w:t>/</w:t>
        </w:r>
        <w:r w:rsidRPr="00D56D1C">
          <w:rPr>
            <w:rStyle w:val="a4"/>
            <w:lang w:val="en-GB"/>
          </w:rPr>
          <w:t>partners</w:t>
        </w:r>
        <w:r w:rsidRPr="00D56D1C">
          <w:rPr>
            <w:rStyle w:val="a4"/>
          </w:rPr>
          <w:t>/</w:t>
        </w:r>
        <w:r w:rsidRPr="00D56D1C">
          <w:rPr>
            <w:rStyle w:val="a4"/>
            <w:lang w:val="en-GB"/>
          </w:rPr>
          <w:t>international</w:t>
        </w:r>
        <w:r w:rsidRPr="00D56D1C">
          <w:rPr>
            <w:rStyle w:val="a4"/>
          </w:rPr>
          <w:t>/</w:t>
        </w:r>
        <w:r w:rsidRPr="00D56D1C">
          <w:rPr>
            <w:rStyle w:val="a4"/>
            <w:lang w:val="en-GB"/>
          </w:rPr>
          <w:t>euro</w:t>
        </w:r>
      </w:hyperlink>
    </w:p>
    <w:p w:rsidR="00882862" w:rsidRPr="00D56D1C" w:rsidRDefault="00882862" w:rsidP="00D56D1C">
      <w:bookmarkStart w:id="0" w:name="_GoBack"/>
      <w:bookmarkEnd w:id="0"/>
    </w:p>
    <w:sectPr w:rsidR="00882862" w:rsidRPr="00D56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13CEC"/>
    <w:multiLevelType w:val="hybridMultilevel"/>
    <w:tmpl w:val="AFAE2FF0"/>
    <w:lvl w:ilvl="0" w:tplc="92DED75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01683C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29AA17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D1013D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3C4776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55A8ED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6CC606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028C37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C9AFD4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11872242"/>
    <w:multiLevelType w:val="hybridMultilevel"/>
    <w:tmpl w:val="0F964B58"/>
    <w:lvl w:ilvl="0" w:tplc="DCE4AC4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AC4BA9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E7C05A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1C6174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6B05F7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C6E2F9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188FE6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DF4139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4D6752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 w15:restartNumberingAfterBreak="0">
    <w:nsid w:val="64735EC3"/>
    <w:multiLevelType w:val="hybridMultilevel"/>
    <w:tmpl w:val="B8144490"/>
    <w:lvl w:ilvl="0" w:tplc="B928CA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B5E"/>
    <w:rsid w:val="00325B5E"/>
    <w:rsid w:val="0047040F"/>
    <w:rsid w:val="007B4284"/>
    <w:rsid w:val="00882862"/>
    <w:rsid w:val="00B06604"/>
    <w:rsid w:val="00D5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AE9B824-33F7-4458-9922-F23088C2C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dtp">
    <w:name w:val="pdtp"/>
    <w:basedOn w:val="a0"/>
    <w:rsid w:val="00325B5E"/>
  </w:style>
  <w:style w:type="character" w:customStyle="1" w:styleId="rgt">
    <w:name w:val="rgt"/>
    <w:basedOn w:val="a0"/>
    <w:rsid w:val="00325B5E"/>
  </w:style>
  <w:style w:type="paragraph" w:styleId="a3">
    <w:name w:val="List Paragraph"/>
    <w:basedOn w:val="a"/>
    <w:uiPriority w:val="34"/>
    <w:qFormat/>
    <w:rsid w:val="0047040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56D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9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67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17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7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75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386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46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82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6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44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31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8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ssmc.gov.ua/partners/international/euro" TargetMode="External"/><Relationship Id="rId5" Type="http://schemas.openxmlformats.org/officeDocument/2006/relationships/hyperlink" Target="https://www.nssmc.gov.ua/partners/international/eu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1048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gavrylyuk</dc:creator>
  <cp:keywords/>
  <dc:description/>
  <cp:lastModifiedBy>gavrylyuk</cp:lastModifiedBy>
  <cp:revision>4</cp:revision>
  <dcterms:created xsi:type="dcterms:W3CDTF">2017-06-01T11:15:00Z</dcterms:created>
  <dcterms:modified xsi:type="dcterms:W3CDTF">2017-06-01T12:12:00Z</dcterms:modified>
</cp:coreProperties>
</file>